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87337" w:rsidRDefault="00E56347" w:rsidP="00F87337">
      <w:pPr>
        <w:jc w:val="center"/>
        <w:rPr>
          <w:color w:val="000000"/>
        </w:rPr>
      </w:pPr>
      <w:r>
        <w:rPr>
          <w:b/>
          <w:bCs/>
          <w:color w:val="000000"/>
          <w:sz w:val="30"/>
          <w:szCs w:val="30"/>
        </w:rPr>
        <w:t xml:space="preserve">Educators </w:t>
      </w:r>
      <w:r w:rsidR="00402788">
        <w:rPr>
          <w:b/>
          <w:bCs/>
          <w:color w:val="000000"/>
          <w:sz w:val="30"/>
          <w:szCs w:val="30"/>
        </w:rPr>
        <w:t xml:space="preserve">Guide – </w:t>
      </w:r>
      <w:r w:rsidR="00402788">
        <w:rPr>
          <w:rFonts w:eastAsia="Anton"/>
          <w:b/>
          <w:bCs/>
          <w:color w:val="000000"/>
          <w:sz w:val="30"/>
          <w:szCs w:val="30"/>
        </w:rPr>
        <w:t xml:space="preserve">The </w:t>
      </w:r>
      <w:r w:rsidR="00A2566E">
        <w:rPr>
          <w:rFonts w:eastAsia="Anton"/>
          <w:b/>
          <w:bCs/>
          <w:color w:val="000000"/>
          <w:sz w:val="30"/>
          <w:szCs w:val="30"/>
        </w:rPr>
        <w:t>Battle of Carham</w:t>
      </w:r>
    </w:p>
    <w:p w:rsidR="00F87337" w:rsidRDefault="00F87337" w:rsidP="00F87337">
      <w:pPr>
        <w:jc w:val="center"/>
        <w:rPr>
          <w:color w:val="00000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103.5pt;mso-position-horizontal:center" wrapcoords="-84 0 -84 21400 21600 21400 21600 0 -84 0" o:allowoverlap="f">
            <v:imagedata r:id="rId5" o:title="logo"/>
          </v:shape>
        </w:pict>
      </w:r>
    </w:p>
    <w:p w:rsidR="00402788" w:rsidRDefault="00402788">
      <w:pPr>
        <w:rPr>
          <w:rFonts w:eastAsia="HelveticaNeue"/>
          <w:b/>
          <w:color w:val="000000"/>
        </w:rPr>
      </w:pPr>
      <w:r>
        <w:rPr>
          <w:color w:val="000000"/>
        </w:rPr>
        <w:t xml:space="preserve">These worksheets can be used in a series of lessons to form a detailed </w:t>
      </w:r>
      <w:r w:rsidR="00A2566E">
        <w:rPr>
          <w:color w:val="000000"/>
        </w:rPr>
        <w:t>enquiry</w:t>
      </w:r>
      <w:r>
        <w:rPr>
          <w:color w:val="000000"/>
        </w:rPr>
        <w:t xml:space="preserve"> or individually</w:t>
      </w:r>
      <w:r w:rsidR="00A2566E">
        <w:rPr>
          <w:color w:val="000000"/>
        </w:rPr>
        <w:t xml:space="preserve"> as </w:t>
      </w:r>
      <w:r w:rsidR="00443412">
        <w:rPr>
          <w:color w:val="000000"/>
        </w:rPr>
        <w:t>one-off</w:t>
      </w:r>
      <w:r w:rsidR="00A2566E">
        <w:rPr>
          <w:color w:val="000000"/>
        </w:rPr>
        <w:t xml:space="preserve"> activities</w:t>
      </w:r>
      <w:r>
        <w:rPr>
          <w:color w:val="000000"/>
        </w:rPr>
        <w:t>. They are designed to develop a number of historical skills such as</w:t>
      </w:r>
      <w:r w:rsidR="00A2566E">
        <w:rPr>
          <w:color w:val="000000"/>
        </w:rPr>
        <w:t>:</w:t>
      </w:r>
      <w:r>
        <w:rPr>
          <w:color w:val="000000"/>
        </w:rPr>
        <w:t xml:space="preserve"> analysing written historical sources, chronology and assessing significance</w:t>
      </w:r>
      <w:r w:rsidR="007B4FF9">
        <w:rPr>
          <w:color w:val="000000"/>
        </w:rPr>
        <w:t xml:space="preserve"> or utility</w:t>
      </w:r>
      <w:r>
        <w:rPr>
          <w:color w:val="000000"/>
        </w:rPr>
        <w:t>. These are suggested activities, therefore it is</w:t>
      </w:r>
      <w:r w:rsidR="007B4FF9">
        <w:rPr>
          <w:color w:val="000000"/>
        </w:rPr>
        <w:t xml:space="preserve"> expected</w:t>
      </w:r>
      <w:r>
        <w:rPr>
          <w:color w:val="000000"/>
        </w:rPr>
        <w:t xml:space="preserve"> that the worksheets </w:t>
      </w:r>
      <w:r w:rsidR="007B4FF9">
        <w:rPr>
          <w:color w:val="000000"/>
        </w:rPr>
        <w:t>are</w:t>
      </w:r>
      <w:r>
        <w:rPr>
          <w:color w:val="000000"/>
        </w:rPr>
        <w:t xml:space="preserve"> </w:t>
      </w:r>
      <w:r w:rsidR="00A2566E">
        <w:rPr>
          <w:color w:val="000000"/>
        </w:rPr>
        <w:t xml:space="preserve">changed and </w:t>
      </w:r>
      <w:r>
        <w:rPr>
          <w:color w:val="000000"/>
        </w:rPr>
        <w:t xml:space="preserve">adapted for your specific needs, or </w:t>
      </w:r>
      <w:r w:rsidR="00A2566E">
        <w:rPr>
          <w:color w:val="000000"/>
        </w:rPr>
        <w:t xml:space="preserve">even simply </w:t>
      </w:r>
      <w:r>
        <w:rPr>
          <w:color w:val="000000"/>
        </w:rPr>
        <w:t>used as inspiration to produce your own</w:t>
      </w:r>
      <w:r w:rsidR="00A2566E">
        <w:rPr>
          <w:color w:val="000000"/>
        </w:rPr>
        <w:t>.</w:t>
      </w:r>
    </w:p>
    <w:p w:rsidR="00744AA8" w:rsidRDefault="00744AA8" w:rsidP="00744AA8">
      <w:pPr>
        <w:pStyle w:val="ListParagraph"/>
        <w:ind w:left="0"/>
        <w:rPr>
          <w:rFonts w:eastAsia="HelveticaNeue"/>
          <w:b/>
          <w:color w:val="000000"/>
          <w:sz w:val="28"/>
          <w:szCs w:val="28"/>
          <w:u w:val="single"/>
        </w:rPr>
      </w:pPr>
      <w:r>
        <w:rPr>
          <w:rFonts w:eastAsia="HelveticaNeue"/>
          <w:b/>
          <w:color w:val="000000"/>
          <w:sz w:val="28"/>
          <w:szCs w:val="28"/>
          <w:u w:val="single"/>
        </w:rPr>
        <w:t>Core</w:t>
      </w:r>
    </w:p>
    <w:p w:rsidR="00B419FE" w:rsidRDefault="00B419FE" w:rsidP="00B419FE">
      <w:pPr>
        <w:pStyle w:val="ListParagraph"/>
        <w:rPr>
          <w:rFonts w:eastAsia="HelveticaNeue"/>
          <w:b/>
          <w:color w:val="000000"/>
        </w:rPr>
      </w:pPr>
      <w:r>
        <w:rPr>
          <w:rFonts w:eastAsia="HelveticaNeue"/>
          <w:b/>
          <w:color w:val="000000"/>
        </w:rPr>
        <w:t xml:space="preserve">The build-up to </w:t>
      </w:r>
      <w:r w:rsidR="00F87337">
        <w:rPr>
          <w:rFonts w:eastAsia="HelveticaNeue"/>
          <w:b/>
          <w:color w:val="000000"/>
        </w:rPr>
        <w:t>t</w:t>
      </w:r>
      <w:r>
        <w:rPr>
          <w:rFonts w:eastAsia="HelveticaNeue"/>
          <w:b/>
          <w:color w:val="000000"/>
        </w:rPr>
        <w:t xml:space="preserve">he </w:t>
      </w:r>
      <w:r w:rsidR="00F87337">
        <w:rPr>
          <w:rFonts w:eastAsia="HelveticaNeue"/>
          <w:b/>
          <w:color w:val="000000"/>
        </w:rPr>
        <w:t>B</w:t>
      </w:r>
      <w:r>
        <w:rPr>
          <w:rFonts w:eastAsia="HelveticaNeue"/>
          <w:b/>
          <w:color w:val="000000"/>
        </w:rPr>
        <w:t xml:space="preserve">attle </w:t>
      </w:r>
      <w:r w:rsidR="006F53DB">
        <w:rPr>
          <w:rFonts w:eastAsia="HelveticaNeue"/>
          <w:b/>
          <w:color w:val="000000"/>
        </w:rPr>
        <w:t xml:space="preserve">of </w:t>
      </w:r>
      <w:r>
        <w:rPr>
          <w:rFonts w:eastAsia="HelveticaNeue"/>
          <w:b/>
          <w:color w:val="000000"/>
        </w:rPr>
        <w:t xml:space="preserve">Carham </w:t>
      </w:r>
      <w:r w:rsidR="00F87337">
        <w:rPr>
          <w:rFonts w:eastAsia="HelveticaNeue"/>
          <w:b/>
          <w:color w:val="000000"/>
        </w:rPr>
        <w:t>(in ‘Documents’ section)</w:t>
      </w:r>
    </w:p>
    <w:p w:rsidR="00B419FE" w:rsidRDefault="00B419FE" w:rsidP="00B419FE">
      <w:pPr>
        <w:pStyle w:val="ListParagraph"/>
        <w:rPr>
          <w:b/>
          <w:color w:val="000000"/>
        </w:rPr>
      </w:pPr>
      <w:r>
        <w:rPr>
          <w:color w:val="000000"/>
        </w:rPr>
        <w:t xml:space="preserve">This narrative outlines the circumstances and events leading up to the battle, and like the </w:t>
      </w:r>
      <w:r w:rsidR="00F87337">
        <w:rPr>
          <w:color w:val="000000"/>
        </w:rPr>
        <w:t>b</w:t>
      </w:r>
      <w:r>
        <w:rPr>
          <w:color w:val="000000"/>
        </w:rPr>
        <w:t xml:space="preserve">attle narrative, it is designed primarily to be used with the other classroom resources. Teachers may wish to use this along with like the </w:t>
      </w:r>
      <w:r w:rsidR="00F87337">
        <w:rPr>
          <w:color w:val="000000"/>
        </w:rPr>
        <w:t>b</w:t>
      </w:r>
      <w:r>
        <w:rPr>
          <w:color w:val="000000"/>
        </w:rPr>
        <w:t>attle narrative for the sequencing task or use it as the basis for documentaries or written work.</w:t>
      </w:r>
    </w:p>
    <w:p w:rsidR="00402788" w:rsidRDefault="00402788">
      <w:pPr>
        <w:pStyle w:val="ListParagraph"/>
        <w:rPr>
          <w:rFonts w:eastAsia="HelveticaNeue"/>
          <w:b/>
          <w:color w:val="000000"/>
        </w:rPr>
      </w:pPr>
      <w:r>
        <w:rPr>
          <w:rFonts w:eastAsia="HelveticaNeue"/>
          <w:b/>
          <w:color w:val="000000"/>
        </w:rPr>
        <w:t>The Battle</w:t>
      </w:r>
      <w:r w:rsidR="006F53DB">
        <w:rPr>
          <w:rFonts w:eastAsia="HelveticaNeue"/>
          <w:b/>
          <w:color w:val="000000"/>
        </w:rPr>
        <w:t xml:space="preserve"> of</w:t>
      </w:r>
      <w:r>
        <w:rPr>
          <w:rFonts w:eastAsia="HelveticaNeue"/>
          <w:b/>
          <w:color w:val="000000"/>
        </w:rPr>
        <w:t xml:space="preserve"> </w:t>
      </w:r>
      <w:r w:rsidR="00A2566E">
        <w:rPr>
          <w:rFonts w:eastAsia="HelveticaNeue"/>
          <w:b/>
          <w:color w:val="000000"/>
        </w:rPr>
        <w:t>Carham</w:t>
      </w:r>
      <w:r>
        <w:rPr>
          <w:rFonts w:eastAsia="HelveticaNeue"/>
          <w:b/>
          <w:color w:val="000000"/>
        </w:rPr>
        <w:t xml:space="preserve"> </w:t>
      </w:r>
      <w:r w:rsidR="00F87337">
        <w:rPr>
          <w:rFonts w:eastAsia="HelveticaNeue"/>
          <w:b/>
          <w:color w:val="000000"/>
        </w:rPr>
        <w:t>(in ‘Documents’ section)</w:t>
      </w:r>
    </w:p>
    <w:p w:rsidR="00402788" w:rsidRDefault="00A2566E">
      <w:pPr>
        <w:pStyle w:val="ListParagraph"/>
        <w:rPr>
          <w:b/>
          <w:color w:val="000000"/>
        </w:rPr>
      </w:pPr>
      <w:r>
        <w:rPr>
          <w:color w:val="000000"/>
        </w:rPr>
        <w:t>This</w:t>
      </w:r>
      <w:r w:rsidR="00402788">
        <w:rPr>
          <w:color w:val="000000"/>
        </w:rPr>
        <w:t xml:space="preserve"> narrative outline</w:t>
      </w:r>
      <w:r>
        <w:rPr>
          <w:color w:val="000000"/>
        </w:rPr>
        <w:t>s</w:t>
      </w:r>
      <w:r w:rsidR="00402788">
        <w:rPr>
          <w:color w:val="000000"/>
        </w:rPr>
        <w:t xml:space="preserve"> the battle </w:t>
      </w:r>
      <w:r w:rsidR="00B71F86">
        <w:rPr>
          <w:color w:val="000000"/>
        </w:rPr>
        <w:t>simply and</w:t>
      </w:r>
      <w:r w:rsidR="00402788">
        <w:rPr>
          <w:color w:val="000000"/>
        </w:rPr>
        <w:t xml:space="preserve"> </w:t>
      </w:r>
      <w:r>
        <w:rPr>
          <w:color w:val="000000"/>
        </w:rPr>
        <w:t>is</w:t>
      </w:r>
      <w:r w:rsidR="00402788">
        <w:rPr>
          <w:color w:val="000000"/>
        </w:rPr>
        <w:t xml:space="preserve"> designed primarily to be used with the other classroom resources. Teachers may wish to use th</w:t>
      </w:r>
      <w:r>
        <w:rPr>
          <w:color w:val="000000"/>
        </w:rPr>
        <w:t>is</w:t>
      </w:r>
      <w:r w:rsidR="00402788">
        <w:rPr>
          <w:color w:val="000000"/>
        </w:rPr>
        <w:t xml:space="preserve"> along with the sequencing task or use </w:t>
      </w:r>
      <w:r>
        <w:rPr>
          <w:color w:val="000000"/>
        </w:rPr>
        <w:t>it</w:t>
      </w:r>
      <w:r w:rsidR="00402788">
        <w:rPr>
          <w:color w:val="000000"/>
        </w:rPr>
        <w:t xml:space="preserve"> as the basis for the documentaries or written work.</w:t>
      </w:r>
    </w:p>
    <w:p w:rsidR="00911F24" w:rsidRDefault="00911F24">
      <w:pPr>
        <w:pStyle w:val="ListParagraph"/>
        <w:rPr>
          <w:b/>
          <w:color w:val="000000"/>
        </w:rPr>
      </w:pPr>
      <w:r>
        <w:rPr>
          <w:b/>
          <w:color w:val="000000"/>
        </w:rPr>
        <w:t>Documentary Tasks</w:t>
      </w:r>
    </w:p>
    <w:p w:rsidR="00402788" w:rsidRDefault="00402788" w:rsidP="00911F24">
      <w:pPr>
        <w:pStyle w:val="ListParagraph"/>
        <w:ind w:left="1440"/>
        <w:rPr>
          <w:color w:val="000000"/>
        </w:rPr>
      </w:pPr>
      <w:r>
        <w:rPr>
          <w:b/>
          <w:color w:val="000000"/>
        </w:rPr>
        <w:t>Produce a Storyboard</w:t>
      </w:r>
    </w:p>
    <w:p w:rsidR="00911F24" w:rsidRDefault="00B419FE" w:rsidP="00911F24">
      <w:pPr>
        <w:pStyle w:val="ListParagraph"/>
        <w:ind w:left="1440"/>
        <w:rPr>
          <w:b/>
          <w:color w:val="000000"/>
        </w:rPr>
      </w:pPr>
      <w:r>
        <w:rPr>
          <w:color w:val="000000"/>
        </w:rPr>
        <w:t>D</w:t>
      </w:r>
      <w:r w:rsidR="00402788">
        <w:rPr>
          <w:color w:val="000000"/>
        </w:rPr>
        <w:t xml:space="preserve">esigned primarily to provide students with </w:t>
      </w:r>
      <w:r>
        <w:rPr>
          <w:color w:val="000000"/>
        </w:rPr>
        <w:t xml:space="preserve">a structure to tell </w:t>
      </w:r>
      <w:r w:rsidR="00402788">
        <w:rPr>
          <w:color w:val="000000"/>
        </w:rPr>
        <w:t xml:space="preserve">the story of the battle, </w:t>
      </w:r>
      <w:r>
        <w:rPr>
          <w:color w:val="000000"/>
        </w:rPr>
        <w:t xml:space="preserve">it is </w:t>
      </w:r>
      <w:r w:rsidR="00402788">
        <w:rPr>
          <w:color w:val="000000"/>
        </w:rPr>
        <w:t xml:space="preserve">asking them to describe and summarise the events </w:t>
      </w:r>
      <w:r>
        <w:rPr>
          <w:color w:val="000000"/>
        </w:rPr>
        <w:t xml:space="preserve">prior, during and after </w:t>
      </w:r>
      <w:r w:rsidR="00402788">
        <w:rPr>
          <w:color w:val="000000"/>
        </w:rPr>
        <w:t xml:space="preserve">the battle. </w:t>
      </w:r>
      <w:r w:rsidR="00911F24">
        <w:rPr>
          <w:color w:val="000000"/>
        </w:rPr>
        <w:t xml:space="preserve"> A blank storyboard is included in the pack.</w:t>
      </w:r>
    </w:p>
    <w:p w:rsidR="00402788" w:rsidRDefault="00402788" w:rsidP="00911F24">
      <w:pPr>
        <w:pStyle w:val="ListParagraph"/>
        <w:rPr>
          <w:color w:val="000000"/>
        </w:rPr>
      </w:pPr>
      <w:r>
        <w:rPr>
          <w:b/>
          <w:color w:val="000000"/>
        </w:rPr>
        <w:tab/>
        <w:t>A Lego documentary</w:t>
      </w:r>
    </w:p>
    <w:p w:rsidR="00402788" w:rsidRDefault="00402788" w:rsidP="00911F24">
      <w:pPr>
        <w:ind w:left="1440"/>
        <w:rPr>
          <w:b/>
          <w:bCs/>
          <w:color w:val="000000"/>
        </w:rPr>
      </w:pPr>
      <w:r>
        <w:rPr>
          <w:color w:val="000000"/>
        </w:rPr>
        <w:t xml:space="preserve">Like the above activity, the production of the script allows students to describe and summarise the </w:t>
      </w:r>
      <w:r w:rsidR="00911F24">
        <w:rPr>
          <w:color w:val="000000"/>
        </w:rPr>
        <w:t>b</w:t>
      </w:r>
      <w:r>
        <w:rPr>
          <w:color w:val="000000"/>
        </w:rPr>
        <w:t>attle</w:t>
      </w:r>
      <w:r w:rsidR="007A71DD">
        <w:rPr>
          <w:rStyle w:val="Hyperlink"/>
          <w:color w:val="000000"/>
          <w:u w:val="none"/>
          <w:lang w:val="en-GB"/>
        </w:rPr>
        <w:t>, its build up and consequences</w:t>
      </w:r>
      <w:r>
        <w:rPr>
          <w:color w:val="000000"/>
        </w:rPr>
        <w:t>. It is suggested that this be at the end of a sequence of lessons.</w:t>
      </w:r>
    </w:p>
    <w:p w:rsidR="00402788" w:rsidRDefault="00402788" w:rsidP="00911F24">
      <w:pPr>
        <w:pStyle w:val="ListParagraph"/>
        <w:ind w:left="1440"/>
        <w:rPr>
          <w:color w:val="000000"/>
        </w:rPr>
      </w:pPr>
      <w:r>
        <w:rPr>
          <w:b/>
          <w:bCs/>
          <w:color w:val="000000"/>
        </w:rPr>
        <w:t xml:space="preserve">A 'Bag of </w:t>
      </w:r>
      <w:r w:rsidR="00911F24">
        <w:rPr>
          <w:b/>
          <w:bCs/>
          <w:color w:val="000000"/>
        </w:rPr>
        <w:t>R</w:t>
      </w:r>
      <w:r>
        <w:rPr>
          <w:b/>
          <w:bCs/>
          <w:color w:val="000000"/>
        </w:rPr>
        <w:t>ubbish' documentary</w:t>
      </w:r>
    </w:p>
    <w:p w:rsidR="00402788" w:rsidRDefault="00402788" w:rsidP="00911F24">
      <w:pPr>
        <w:pStyle w:val="ListParagraph"/>
        <w:ind w:left="1440"/>
        <w:rPr>
          <w:rStyle w:val="Hyperlink"/>
          <w:b/>
          <w:bCs/>
          <w:color w:val="000000"/>
          <w:u w:val="none"/>
        </w:rPr>
      </w:pPr>
      <w:r>
        <w:rPr>
          <w:color w:val="000000"/>
        </w:rPr>
        <w:t>Using the ‘Bag of Rubbish’ strategy helps students to expand their creativity. Students are given a bag of random items, for example a screw, a foam ball, a lump of blue tack, a post</w:t>
      </w:r>
      <w:r w:rsidR="00B71F86">
        <w:rPr>
          <w:color w:val="000000"/>
        </w:rPr>
        <w:t>-</w:t>
      </w:r>
      <w:r>
        <w:rPr>
          <w:color w:val="000000"/>
        </w:rPr>
        <w:t>it note, a paperclip etc. and they have to use them to tell the story of the battle.</w:t>
      </w:r>
    </w:p>
    <w:p w:rsidR="00911F24" w:rsidRDefault="00402788" w:rsidP="00911F24">
      <w:pPr>
        <w:ind w:left="720"/>
        <w:rPr>
          <w:rStyle w:val="Hyperlink"/>
          <w:b/>
          <w:bCs/>
          <w:color w:val="000000"/>
          <w:u w:val="none"/>
        </w:rPr>
      </w:pPr>
      <w:r>
        <w:rPr>
          <w:rStyle w:val="Hyperlink"/>
          <w:b/>
          <w:bCs/>
          <w:color w:val="000000"/>
          <w:u w:val="none"/>
        </w:rPr>
        <w:tab/>
      </w:r>
    </w:p>
    <w:p w:rsidR="00402788" w:rsidRDefault="00402788" w:rsidP="00911F24">
      <w:pPr>
        <w:ind w:left="1440"/>
        <w:rPr>
          <w:rStyle w:val="Hyperlink"/>
          <w:color w:val="000000"/>
          <w:u w:val="none"/>
        </w:rPr>
      </w:pPr>
      <w:r>
        <w:rPr>
          <w:rStyle w:val="Hyperlink"/>
          <w:b/>
          <w:bCs/>
          <w:color w:val="000000"/>
          <w:u w:val="none"/>
        </w:rPr>
        <w:lastRenderedPageBreak/>
        <w:t>Produce Shadow Play</w:t>
      </w:r>
    </w:p>
    <w:p w:rsidR="00402788" w:rsidRPr="007A71DD" w:rsidRDefault="00402788" w:rsidP="00911F24">
      <w:pPr>
        <w:ind w:left="1440" w:hanging="720"/>
        <w:rPr>
          <w:rStyle w:val="Hyperlink"/>
          <w:color w:val="000000"/>
          <w:u w:val="none"/>
          <w:lang w:val="en-GB"/>
        </w:rPr>
      </w:pPr>
      <w:r>
        <w:rPr>
          <w:rStyle w:val="Hyperlink"/>
          <w:color w:val="000000"/>
          <w:u w:val="none"/>
        </w:rPr>
        <w:tab/>
        <w:t xml:space="preserve">Students produce a shadow play to give an account of </w:t>
      </w:r>
      <w:r w:rsidR="007A71DD">
        <w:rPr>
          <w:rStyle w:val="Hyperlink"/>
          <w:color w:val="000000"/>
          <w:u w:val="none"/>
          <w:lang w:val="en-GB"/>
        </w:rPr>
        <w:t xml:space="preserve">the </w:t>
      </w:r>
      <w:r>
        <w:rPr>
          <w:rStyle w:val="Hyperlink"/>
          <w:color w:val="000000"/>
          <w:u w:val="none"/>
        </w:rPr>
        <w:t>Battle</w:t>
      </w:r>
      <w:r w:rsidR="007A71DD">
        <w:rPr>
          <w:rStyle w:val="Hyperlink"/>
          <w:color w:val="000000"/>
          <w:u w:val="none"/>
          <w:lang w:val="en-GB"/>
        </w:rPr>
        <w:t>, it’s build up and consequences.</w:t>
      </w:r>
    </w:p>
    <w:p w:rsidR="00744AA8" w:rsidRDefault="00744AA8" w:rsidP="00744AA8">
      <w:pPr>
        <w:pStyle w:val="ListParagraph"/>
        <w:spacing w:after="0" w:line="240" w:lineRule="auto"/>
        <w:rPr>
          <w:b/>
        </w:rPr>
      </w:pPr>
      <w:r w:rsidRPr="004A7BB4">
        <w:rPr>
          <w:b/>
        </w:rPr>
        <w:t xml:space="preserve">Text </w:t>
      </w:r>
      <w:r w:rsidR="00BF375D">
        <w:rPr>
          <w:b/>
        </w:rPr>
        <w:t>s</w:t>
      </w:r>
      <w:r w:rsidRPr="004A7BB4">
        <w:rPr>
          <w:b/>
        </w:rPr>
        <w:t>ource worksheets</w:t>
      </w:r>
      <w:r w:rsidR="00BF375D">
        <w:rPr>
          <w:b/>
        </w:rPr>
        <w:t xml:space="preserve"> - </w:t>
      </w:r>
      <w:r w:rsidRPr="00943E41">
        <w:rPr>
          <w:b/>
        </w:rPr>
        <w:t xml:space="preserve">Text </w:t>
      </w:r>
      <w:r w:rsidR="00BF375D">
        <w:rPr>
          <w:b/>
        </w:rPr>
        <w:t>S</w:t>
      </w:r>
      <w:r w:rsidRPr="00943E41">
        <w:rPr>
          <w:b/>
        </w:rPr>
        <w:t>ource</w:t>
      </w:r>
      <w:r>
        <w:rPr>
          <w:b/>
        </w:rPr>
        <w:t>s A, B, C and D</w:t>
      </w:r>
    </w:p>
    <w:p w:rsidR="00744AA8" w:rsidRPr="00943E41" w:rsidRDefault="00744AA8" w:rsidP="00744AA8">
      <w:pPr>
        <w:pStyle w:val="ListParagraph"/>
        <w:spacing w:after="0" w:line="240" w:lineRule="auto"/>
      </w:pPr>
    </w:p>
    <w:p w:rsidR="00744AA8" w:rsidRPr="00943E41" w:rsidRDefault="00744AA8" w:rsidP="00744AA8">
      <w:pPr>
        <w:pStyle w:val="ListParagraph"/>
        <w:rPr>
          <w:b/>
          <w:bCs/>
        </w:rPr>
      </w:pPr>
      <w:r w:rsidRPr="00943E41">
        <w:t xml:space="preserve">Simple analysis of text. The suggested questions are similar to those seen in GCSE question papers, but with sufficient scaffolding most KS3 students will be able to access them. It is intended that the text is provided separately to the questions, this will enable you to plan a number of activities based on the text, providing greater flexibility. </w:t>
      </w:r>
    </w:p>
    <w:p w:rsidR="00744AA8" w:rsidRDefault="00744AA8" w:rsidP="00744AA8">
      <w:pPr>
        <w:pStyle w:val="ListParagraph"/>
        <w:spacing w:after="0" w:line="240" w:lineRule="auto"/>
        <w:rPr>
          <w:b/>
          <w:bCs/>
        </w:rPr>
      </w:pPr>
      <w:r w:rsidRPr="009032D0">
        <w:rPr>
          <w:b/>
          <w:bCs/>
        </w:rPr>
        <w:t>Picture Source worksheets</w:t>
      </w:r>
    </w:p>
    <w:p w:rsidR="00BF375D" w:rsidRPr="009032D0" w:rsidRDefault="00BF375D" w:rsidP="00744AA8">
      <w:pPr>
        <w:pStyle w:val="ListParagraph"/>
        <w:spacing w:after="0" w:line="240" w:lineRule="auto"/>
        <w:rPr>
          <w:b/>
        </w:rPr>
      </w:pPr>
    </w:p>
    <w:p w:rsidR="00744AA8" w:rsidRDefault="00744AA8" w:rsidP="00744AA8">
      <w:pPr>
        <w:pStyle w:val="ListParagraph"/>
        <w:spacing w:after="0" w:line="240" w:lineRule="auto"/>
        <w:rPr>
          <w:b/>
        </w:rPr>
      </w:pPr>
      <w:r w:rsidRPr="00144E7A">
        <w:rPr>
          <w:b/>
        </w:rPr>
        <w:t xml:space="preserve">Pic Source </w:t>
      </w:r>
      <w:r>
        <w:rPr>
          <w:b/>
        </w:rPr>
        <w:t xml:space="preserve">Re-enactment, </w:t>
      </w:r>
      <w:r w:rsidRPr="00144E7A">
        <w:rPr>
          <w:b/>
        </w:rPr>
        <w:t xml:space="preserve">Pic Source </w:t>
      </w:r>
      <w:r>
        <w:rPr>
          <w:b/>
        </w:rPr>
        <w:t xml:space="preserve">Vikings, </w:t>
      </w:r>
      <w:r w:rsidRPr="00144E7A">
        <w:rPr>
          <w:b/>
        </w:rPr>
        <w:t xml:space="preserve">Pic Source </w:t>
      </w:r>
      <w:r>
        <w:rPr>
          <w:b/>
        </w:rPr>
        <w:t xml:space="preserve">Malcolm II, </w:t>
      </w:r>
      <w:r w:rsidRPr="00144E7A">
        <w:rPr>
          <w:b/>
        </w:rPr>
        <w:t xml:space="preserve">Pic Source </w:t>
      </w:r>
      <w:r>
        <w:rPr>
          <w:b/>
        </w:rPr>
        <w:t xml:space="preserve">Carham2018, </w:t>
      </w:r>
      <w:r w:rsidRPr="00144E7A">
        <w:rPr>
          <w:b/>
        </w:rPr>
        <w:t xml:space="preserve">Pic </w:t>
      </w:r>
      <w:r w:rsidRPr="000A1C80">
        <w:rPr>
          <w:b/>
        </w:rPr>
        <w:t>Source Northumbrian Fyrd</w:t>
      </w:r>
    </w:p>
    <w:p w:rsidR="00744AA8" w:rsidRPr="000A1C80" w:rsidRDefault="00744AA8" w:rsidP="00744AA8">
      <w:pPr>
        <w:pStyle w:val="ListParagraph"/>
        <w:spacing w:after="0" w:line="240" w:lineRule="auto"/>
        <w:rPr>
          <w:b/>
        </w:rPr>
      </w:pPr>
    </w:p>
    <w:p w:rsidR="00744AA8" w:rsidRPr="00144E7A" w:rsidRDefault="00744AA8" w:rsidP="00744AA8">
      <w:pPr>
        <w:pStyle w:val="ListParagraph"/>
      </w:pPr>
      <w:r w:rsidRPr="00144E7A">
        <w:t>Simple analysis of images. The suggested questions are similar to those seen in GCSE question papers, but with sufficient scaffolding most KS3 students will be able to access them. It is intended that the images are provided separately to the questions, this will enable you to plan a number of activities based on the image</w:t>
      </w:r>
      <w:r>
        <w:t>,</w:t>
      </w:r>
      <w:r w:rsidRPr="00144E7A">
        <w:t xml:space="preserve"> providing greater flexibility. </w:t>
      </w:r>
    </w:p>
    <w:p w:rsidR="00744AA8" w:rsidRDefault="00744AA8" w:rsidP="00744AA8">
      <w:pPr>
        <w:pStyle w:val="Framecontents"/>
        <w:spacing w:after="0" w:line="240" w:lineRule="auto"/>
        <w:ind w:firstLine="720"/>
        <w:rPr>
          <w:b/>
          <w:bCs/>
        </w:rPr>
      </w:pPr>
      <w:r w:rsidRPr="007637E0">
        <w:rPr>
          <w:b/>
          <w:bCs/>
        </w:rPr>
        <w:t>5W sheets</w:t>
      </w:r>
    </w:p>
    <w:p w:rsidR="00744AA8" w:rsidRDefault="00744AA8" w:rsidP="00744AA8">
      <w:pPr>
        <w:pStyle w:val="Framecontents"/>
        <w:spacing w:after="0" w:line="240" w:lineRule="auto"/>
        <w:ind w:firstLine="720"/>
        <w:rPr>
          <w:b/>
        </w:rPr>
      </w:pPr>
      <w:r w:rsidRPr="007F41A1">
        <w:rPr>
          <w:b/>
          <w:bCs/>
        </w:rPr>
        <w:t>Malcolm, Northumberland, Shield</w:t>
      </w:r>
      <w:r w:rsidR="00BF375D">
        <w:rPr>
          <w:b/>
          <w:bCs/>
        </w:rPr>
        <w:t xml:space="preserve"> W</w:t>
      </w:r>
      <w:r w:rsidRPr="007F41A1">
        <w:rPr>
          <w:b/>
          <w:bCs/>
        </w:rPr>
        <w:t xml:space="preserve">all, </w:t>
      </w:r>
      <w:proofErr w:type="spellStart"/>
      <w:r w:rsidR="00BF375D">
        <w:rPr>
          <w:b/>
        </w:rPr>
        <w:t>S</w:t>
      </w:r>
      <w:r w:rsidRPr="007F41A1">
        <w:rPr>
          <w:b/>
        </w:rPr>
        <w:t>pangenhelm</w:t>
      </w:r>
      <w:proofErr w:type="spellEnd"/>
    </w:p>
    <w:p w:rsidR="00744AA8" w:rsidRPr="007F41A1" w:rsidRDefault="00744AA8" w:rsidP="00744AA8">
      <w:pPr>
        <w:pStyle w:val="Framecontents"/>
        <w:spacing w:after="0" w:line="240" w:lineRule="auto"/>
        <w:ind w:firstLine="720"/>
        <w:rPr>
          <w:rFonts w:cs="Mangal"/>
          <w:b/>
          <w:lang w:eastAsia="hi-IN"/>
        </w:rPr>
      </w:pPr>
    </w:p>
    <w:p w:rsidR="00744AA8" w:rsidRPr="00402788" w:rsidRDefault="00744AA8" w:rsidP="00744AA8">
      <w:pPr>
        <w:pStyle w:val="ListParagraph"/>
        <w:rPr>
          <w:b/>
          <w:bCs/>
          <w:color w:val="B2B2B2"/>
        </w:rPr>
      </w:pPr>
      <w:r w:rsidRPr="00402788">
        <w:rPr>
          <w:color w:val="000000"/>
        </w:rPr>
        <w:t>The question boxes are to encourage students to assess and explain the source in greater depth, to structure and demonstrate information.</w:t>
      </w:r>
    </w:p>
    <w:p w:rsidR="00744AA8" w:rsidRPr="0017798C" w:rsidRDefault="00744AA8" w:rsidP="00744AA8">
      <w:pPr>
        <w:spacing w:after="0" w:line="200" w:lineRule="atLeast"/>
        <w:ind w:left="720"/>
        <w:rPr>
          <w:b/>
        </w:rPr>
      </w:pPr>
      <w:r w:rsidRPr="0017798C">
        <w:rPr>
          <w:b/>
        </w:rPr>
        <w:t xml:space="preserve">Carham Equipment </w:t>
      </w:r>
    </w:p>
    <w:p w:rsidR="00744AA8" w:rsidRPr="00EF0685" w:rsidRDefault="00744AA8" w:rsidP="00744AA8">
      <w:pPr>
        <w:spacing w:after="0" w:line="200" w:lineRule="atLeast"/>
      </w:pPr>
    </w:p>
    <w:p w:rsidR="00744AA8" w:rsidRDefault="00744AA8" w:rsidP="00744AA8">
      <w:pPr>
        <w:ind w:left="720"/>
      </w:pPr>
      <w:r w:rsidRPr="002B45B2">
        <w:t xml:space="preserve">A simple activity, students use the </w:t>
      </w:r>
      <w:r>
        <w:t xml:space="preserve">information on </w:t>
      </w:r>
      <w:r w:rsidRPr="007A71DD">
        <w:t xml:space="preserve">the </w:t>
      </w:r>
      <w:r>
        <w:t xml:space="preserve">Carham </w:t>
      </w:r>
      <w:r w:rsidR="00BF375D">
        <w:t>e</w:t>
      </w:r>
      <w:r w:rsidRPr="007A71DD">
        <w:t>quipment</w:t>
      </w:r>
      <w:r w:rsidRPr="00670E63">
        <w:rPr>
          <w:b/>
        </w:rPr>
        <w:t xml:space="preserve"> </w:t>
      </w:r>
      <w:r>
        <w:t xml:space="preserve">sheet </w:t>
      </w:r>
      <w:r w:rsidRPr="002B45B2">
        <w:t>to label</w:t>
      </w:r>
      <w:r>
        <w:t xml:space="preserve"> the </w:t>
      </w:r>
      <w:r w:rsidRPr="002B45B2">
        <w:t xml:space="preserve">images </w:t>
      </w:r>
      <w:r>
        <w:t>provided</w:t>
      </w:r>
      <w:r w:rsidRPr="002B45B2">
        <w:t xml:space="preserve">. This comprehension task can be used to assist students in demonstrating their understanding of </w:t>
      </w:r>
      <w:r w:rsidR="00BF375D">
        <w:t>w</w:t>
      </w:r>
      <w:r w:rsidRPr="002B45B2">
        <w:t xml:space="preserve">arfare at the time. </w:t>
      </w:r>
    </w:p>
    <w:p w:rsidR="00744AA8" w:rsidRPr="00086EB0" w:rsidRDefault="00744AA8" w:rsidP="00744AA8">
      <w:pPr>
        <w:pStyle w:val="Framecontents"/>
        <w:ind w:firstLine="720"/>
      </w:pPr>
      <w:bookmarkStart w:id="0" w:name="_Hlk9862906"/>
      <w:r w:rsidRPr="00086EB0">
        <w:rPr>
          <w:b/>
          <w:bCs/>
        </w:rPr>
        <w:t>Keywords</w:t>
      </w:r>
    </w:p>
    <w:p w:rsidR="00744AA8" w:rsidRDefault="00744AA8" w:rsidP="00744AA8">
      <w:pPr>
        <w:ind w:firstLine="720"/>
        <w:rPr>
          <w:color w:val="000000"/>
        </w:rPr>
      </w:pPr>
      <w:r>
        <w:rPr>
          <w:color w:val="000000"/>
        </w:rPr>
        <w:t xml:space="preserve">Simple sheets, with a number of different tasks, designed to allows students to demonstrate their </w:t>
      </w:r>
      <w:r>
        <w:rPr>
          <w:color w:val="000000"/>
        </w:rPr>
        <w:tab/>
        <w:t>understanding of the Keywords.</w:t>
      </w:r>
    </w:p>
    <w:p w:rsidR="00744AA8" w:rsidRPr="00744AA8" w:rsidRDefault="00744AA8" w:rsidP="00744AA8">
      <w:pPr>
        <w:rPr>
          <w:rStyle w:val="Hyperlink"/>
          <w:b/>
          <w:color w:val="auto"/>
          <w:sz w:val="28"/>
          <w:szCs w:val="28"/>
          <w:lang w:eastAsia="ar-SA"/>
        </w:rPr>
      </w:pPr>
      <w:r w:rsidRPr="00744AA8">
        <w:rPr>
          <w:rStyle w:val="Hyperlink"/>
          <w:b/>
          <w:color w:val="auto"/>
          <w:sz w:val="28"/>
          <w:szCs w:val="28"/>
        </w:rPr>
        <w:t>Enquiry</w:t>
      </w:r>
    </w:p>
    <w:p w:rsidR="00744AA8" w:rsidRDefault="00744AA8" w:rsidP="00744AA8">
      <w:pPr>
        <w:pStyle w:val="Framecontents"/>
        <w:ind w:firstLine="720"/>
        <w:rPr>
          <w:color w:val="000000"/>
        </w:rPr>
      </w:pPr>
      <w:r>
        <w:rPr>
          <w:b/>
          <w:bCs/>
          <w:color w:val="000000"/>
        </w:rPr>
        <w:t>Main Enquiry Questions</w:t>
      </w:r>
    </w:p>
    <w:p w:rsidR="00744AA8" w:rsidRDefault="00744AA8" w:rsidP="00744AA8">
      <w:pPr>
        <w:pStyle w:val="Framecontents"/>
        <w:rPr>
          <w:color w:val="B2B2B2"/>
        </w:rPr>
      </w:pPr>
      <w:r>
        <w:rPr>
          <w:color w:val="000000"/>
        </w:rPr>
        <w:tab/>
        <w:t xml:space="preserve">The list of enquiry questions designed to aid teachers in designing an enquiry or series of mini </w:t>
      </w:r>
      <w:r>
        <w:rPr>
          <w:color w:val="000000"/>
        </w:rPr>
        <w:tab/>
        <w:t>enquiries, either for lesson/scheme planning or as ideas for homework enquiries.</w:t>
      </w:r>
    </w:p>
    <w:p w:rsidR="00744AA8" w:rsidRPr="006439F9" w:rsidRDefault="00744AA8" w:rsidP="00744AA8">
      <w:pPr>
        <w:ind w:left="720"/>
        <w:rPr>
          <w:b/>
          <w:color w:val="000000"/>
        </w:rPr>
      </w:pPr>
      <w:r w:rsidRPr="006439F9">
        <w:rPr>
          <w:b/>
          <w:bCs/>
          <w:color w:val="000000"/>
        </w:rPr>
        <w:t xml:space="preserve">Why were Malcolm and </w:t>
      </w:r>
      <w:r w:rsidRPr="006439F9">
        <w:rPr>
          <w:b/>
          <w:color w:val="1D2129"/>
        </w:rPr>
        <w:t>Eadwulf</w:t>
      </w:r>
      <w:r w:rsidRPr="006439F9">
        <w:rPr>
          <w:b/>
          <w:bCs/>
          <w:color w:val="000000"/>
        </w:rPr>
        <w:t xml:space="preserve"> </w:t>
      </w:r>
      <w:r>
        <w:rPr>
          <w:b/>
          <w:bCs/>
          <w:color w:val="000000"/>
        </w:rPr>
        <w:t xml:space="preserve">fighting at Carham - </w:t>
      </w:r>
      <w:r w:rsidRPr="006439F9">
        <w:rPr>
          <w:b/>
          <w:bCs/>
          <w:color w:val="000000"/>
        </w:rPr>
        <w:t xml:space="preserve">Diamond 9 </w:t>
      </w:r>
    </w:p>
    <w:p w:rsidR="00744AA8" w:rsidRDefault="00744AA8" w:rsidP="00744AA8">
      <w:pPr>
        <w:pStyle w:val="ListParagraph"/>
        <w:rPr>
          <w:b/>
          <w:bCs/>
          <w:color w:val="B2B2B2"/>
        </w:rPr>
      </w:pPr>
      <w:r>
        <w:rPr>
          <w:color w:val="000000"/>
        </w:rPr>
        <w:t xml:space="preserve">This is a diamond nine activity where students list the reasons, then use the information to group their most important reasons. There is no right or wrong answer as long as they can justify their selection.  Once they have completed their diamond they can use this to support an extended piece of writing answering a question suggested by the </w:t>
      </w:r>
      <w:r w:rsidRPr="006439F9">
        <w:rPr>
          <w:b/>
          <w:color w:val="000000"/>
        </w:rPr>
        <w:t>Main Enquiry Questions</w:t>
      </w:r>
      <w:r>
        <w:rPr>
          <w:color w:val="000000"/>
        </w:rPr>
        <w:t>.</w:t>
      </w:r>
    </w:p>
    <w:p w:rsidR="00592ECD" w:rsidRDefault="00744AA8" w:rsidP="00744AA8">
      <w:pPr>
        <w:pStyle w:val="Framecontents"/>
        <w:rPr>
          <w:b/>
          <w:bCs/>
          <w:color w:val="B2B2B2"/>
        </w:rPr>
      </w:pPr>
      <w:r>
        <w:rPr>
          <w:b/>
          <w:bCs/>
          <w:color w:val="B2B2B2"/>
        </w:rPr>
        <w:tab/>
      </w:r>
    </w:p>
    <w:p w:rsidR="00402788" w:rsidRPr="00B71F86" w:rsidRDefault="006439F9" w:rsidP="00592ECD">
      <w:pPr>
        <w:pStyle w:val="Framecontents"/>
        <w:ind w:firstLine="720"/>
        <w:rPr>
          <w:b/>
        </w:rPr>
      </w:pPr>
      <w:r w:rsidRPr="00B71F86">
        <w:rPr>
          <w:b/>
          <w:bCs/>
        </w:rPr>
        <w:lastRenderedPageBreak/>
        <w:t>How significant is the Battle of Carham</w:t>
      </w:r>
      <w:bookmarkEnd w:id="0"/>
      <w:r w:rsidR="00402788" w:rsidRPr="00B71F86">
        <w:rPr>
          <w:b/>
          <w:bCs/>
        </w:rPr>
        <w:t xml:space="preserve">? </w:t>
      </w:r>
      <w:r w:rsidR="00592ECD">
        <w:rPr>
          <w:b/>
          <w:bCs/>
        </w:rPr>
        <w:t>C</w:t>
      </w:r>
      <w:r w:rsidR="00402788" w:rsidRPr="00B71F86">
        <w:rPr>
          <w:b/>
          <w:bCs/>
        </w:rPr>
        <w:t>oncept mapping</w:t>
      </w:r>
      <w:r w:rsidR="00592ECD">
        <w:rPr>
          <w:b/>
          <w:bCs/>
        </w:rPr>
        <w:t>.</w:t>
      </w:r>
    </w:p>
    <w:p w:rsidR="00F87337" w:rsidRDefault="00402788" w:rsidP="00592ECD">
      <w:pPr>
        <w:pStyle w:val="Framecontents"/>
        <w:ind w:left="720"/>
        <w:rPr>
          <w:b/>
          <w:bCs/>
          <w:color w:val="000000"/>
        </w:rPr>
      </w:pPr>
      <w:r>
        <w:rPr>
          <w:color w:val="000000"/>
        </w:rPr>
        <w:t xml:space="preserve">Designed primarily to aid group discussion, students use the cards to </w:t>
      </w:r>
      <w:r w:rsidR="007A71DD">
        <w:rPr>
          <w:color w:val="000000"/>
        </w:rPr>
        <w:t>discuss the significance of the event.</w:t>
      </w:r>
      <w:r>
        <w:rPr>
          <w:color w:val="000000"/>
          <w:sz w:val="21"/>
          <w:szCs w:val="21"/>
        </w:rPr>
        <w:t xml:space="preserve"> The cards can be placed on the concept map, with the most </w:t>
      </w:r>
      <w:r w:rsidR="007A71DD">
        <w:rPr>
          <w:color w:val="000000"/>
          <w:sz w:val="21"/>
          <w:szCs w:val="21"/>
        </w:rPr>
        <w:t>significant</w:t>
      </w:r>
      <w:r>
        <w:rPr>
          <w:color w:val="000000"/>
          <w:sz w:val="21"/>
          <w:szCs w:val="21"/>
        </w:rPr>
        <w:t xml:space="preserve"> in the centre, and the less </w:t>
      </w:r>
      <w:r w:rsidR="007A71DD">
        <w:rPr>
          <w:color w:val="000000"/>
          <w:sz w:val="21"/>
          <w:szCs w:val="21"/>
        </w:rPr>
        <w:t>significant</w:t>
      </w:r>
      <w:r>
        <w:rPr>
          <w:color w:val="000000"/>
          <w:sz w:val="21"/>
          <w:szCs w:val="21"/>
        </w:rPr>
        <w:t xml:space="preserve"> towards the outside. </w:t>
      </w:r>
    </w:p>
    <w:p w:rsidR="000D2558" w:rsidRDefault="000D2558" w:rsidP="000D2558">
      <w:pPr>
        <w:pStyle w:val="ListParagraph"/>
        <w:rPr>
          <w:color w:val="000000"/>
        </w:rPr>
      </w:pPr>
      <w:r>
        <w:rPr>
          <w:b/>
          <w:bCs/>
          <w:color w:val="000000"/>
        </w:rPr>
        <w:t xml:space="preserve">Mystery object </w:t>
      </w:r>
    </w:p>
    <w:p w:rsidR="00744AA8" w:rsidRDefault="000D2558" w:rsidP="00F87337">
      <w:pPr>
        <w:pStyle w:val="ListParagraph"/>
        <w:rPr>
          <w:b/>
        </w:rPr>
      </w:pPr>
      <w:r>
        <w:rPr>
          <w:color w:val="000000"/>
        </w:rPr>
        <w:t>Students are given an image without provenance; they speculate as to what it is and its link to the battle. This sheet is used to structure responses to the image, to allow students to consider the context of the image.</w:t>
      </w:r>
    </w:p>
    <w:p w:rsidR="00402788" w:rsidRPr="007A759A" w:rsidRDefault="00402788" w:rsidP="007A71DD">
      <w:pPr>
        <w:pStyle w:val="Framecontents"/>
        <w:ind w:firstLine="720"/>
        <w:rPr>
          <w:sz w:val="21"/>
          <w:szCs w:val="21"/>
        </w:rPr>
      </w:pPr>
      <w:r w:rsidRPr="007A759A">
        <w:rPr>
          <w:b/>
        </w:rPr>
        <w:t>Jigsaw activity</w:t>
      </w:r>
    </w:p>
    <w:p w:rsidR="00402788" w:rsidRDefault="00402788" w:rsidP="007A71DD">
      <w:pPr>
        <w:ind w:left="720"/>
        <w:rPr>
          <w:b/>
          <w:color w:val="B2B2B2"/>
        </w:rPr>
      </w:pPr>
      <w:r>
        <w:rPr>
          <w:color w:val="000000"/>
        </w:rPr>
        <w:t>Designed for simple comprehension activities, these cards can be used in a number of ways; students should be familiar with the</w:t>
      </w:r>
      <w:r w:rsidR="007A71DD">
        <w:rPr>
          <w:color w:val="000000"/>
        </w:rPr>
        <w:t xml:space="preserve"> narrative </w:t>
      </w:r>
      <w:r>
        <w:rPr>
          <w:color w:val="000000"/>
        </w:rPr>
        <w:t>before attempting any activity. The</w:t>
      </w:r>
      <w:r w:rsidR="007A71DD">
        <w:rPr>
          <w:color w:val="000000"/>
        </w:rPr>
        <w:t xml:space="preserve"> </w:t>
      </w:r>
      <w:r>
        <w:rPr>
          <w:color w:val="000000"/>
        </w:rPr>
        <w:t>cards could be cut out, and all twelve given to the students to sort into the two sets.  One jigsaw</w:t>
      </w:r>
      <w:r w:rsidR="007A71DD">
        <w:rPr>
          <w:color w:val="000000"/>
        </w:rPr>
        <w:t xml:space="preserve"> </w:t>
      </w:r>
      <w:r>
        <w:rPr>
          <w:color w:val="000000"/>
        </w:rPr>
        <w:t>piece for each set could be left blank, students are given all twelve, sort them into two sets, and then fill in the blank piece. Students could be asked to produce a paragraph using all the words in a set.</w:t>
      </w:r>
    </w:p>
    <w:p w:rsidR="000D2558" w:rsidRPr="00526B22" w:rsidRDefault="00402788" w:rsidP="00744AA8">
      <w:pPr>
        <w:pStyle w:val="Framecontents"/>
        <w:rPr>
          <w:b/>
        </w:rPr>
      </w:pPr>
      <w:r>
        <w:rPr>
          <w:color w:val="B2B2B2"/>
        </w:rPr>
        <w:tab/>
      </w:r>
      <w:r w:rsidR="00333977">
        <w:rPr>
          <w:b/>
        </w:rPr>
        <w:t xml:space="preserve">Carham </w:t>
      </w:r>
      <w:r w:rsidR="00526B22" w:rsidRPr="00526B22">
        <w:rPr>
          <w:b/>
        </w:rPr>
        <w:t xml:space="preserve">Battle </w:t>
      </w:r>
      <w:r w:rsidR="000D2558" w:rsidRPr="00526B22">
        <w:rPr>
          <w:b/>
        </w:rPr>
        <w:t xml:space="preserve">Tactics </w:t>
      </w:r>
    </w:p>
    <w:p w:rsidR="000D2558" w:rsidRDefault="000D2558" w:rsidP="009E3D4C">
      <w:pPr>
        <w:spacing w:after="0" w:line="200" w:lineRule="atLeast"/>
        <w:ind w:firstLine="720"/>
        <w:rPr>
          <w:b/>
        </w:rPr>
      </w:pPr>
    </w:p>
    <w:p w:rsidR="000D2558" w:rsidRPr="000D2558" w:rsidRDefault="000D2558" w:rsidP="000D2558">
      <w:pPr>
        <w:spacing w:after="0" w:line="200" w:lineRule="atLeast"/>
        <w:ind w:left="720"/>
      </w:pPr>
      <w:r w:rsidRPr="000D2558">
        <w:t>Students</w:t>
      </w:r>
      <w:r>
        <w:t xml:space="preserve"> examine the tactics and </w:t>
      </w:r>
      <w:r w:rsidR="00333977">
        <w:t>formations</w:t>
      </w:r>
      <w:r>
        <w:t xml:space="preserve"> used in 11</w:t>
      </w:r>
      <w:r w:rsidRPr="000D2558">
        <w:rPr>
          <w:vertAlign w:val="superscript"/>
        </w:rPr>
        <w:t>th</w:t>
      </w:r>
      <w:r>
        <w:t xml:space="preserve"> Century battles, they describe them and compare these to Roman tactics and strategies.</w:t>
      </w:r>
    </w:p>
    <w:p w:rsidR="000D2558" w:rsidRDefault="000D2558" w:rsidP="009E3D4C">
      <w:pPr>
        <w:spacing w:after="0" w:line="200" w:lineRule="atLeast"/>
        <w:ind w:firstLine="720"/>
        <w:rPr>
          <w:b/>
        </w:rPr>
      </w:pPr>
    </w:p>
    <w:p w:rsidR="000D2558" w:rsidRPr="004571DB" w:rsidRDefault="000D2558" w:rsidP="009E3D4C">
      <w:pPr>
        <w:spacing w:after="0" w:line="200" w:lineRule="atLeast"/>
        <w:ind w:firstLine="720"/>
        <w:rPr>
          <w:b/>
        </w:rPr>
      </w:pPr>
      <w:r w:rsidRPr="004571DB">
        <w:rPr>
          <w:b/>
        </w:rPr>
        <w:t>Video analysis</w:t>
      </w:r>
    </w:p>
    <w:p w:rsidR="000D2558" w:rsidRDefault="000D2558" w:rsidP="009E3D4C">
      <w:pPr>
        <w:spacing w:after="0" w:line="200" w:lineRule="atLeast"/>
        <w:ind w:firstLine="720"/>
        <w:rPr>
          <w:b/>
        </w:rPr>
      </w:pPr>
    </w:p>
    <w:p w:rsidR="000D2558" w:rsidRPr="000D2558" w:rsidRDefault="000D2558" w:rsidP="000D2558">
      <w:pPr>
        <w:spacing w:after="0" w:line="200" w:lineRule="atLeast"/>
        <w:ind w:left="720"/>
      </w:pPr>
      <w:r w:rsidRPr="000D2558">
        <w:t>Students</w:t>
      </w:r>
      <w:r>
        <w:t xml:space="preserve"> examine clip</w:t>
      </w:r>
      <w:r w:rsidR="005F5887">
        <w:t>s</w:t>
      </w:r>
      <w:r>
        <w:t xml:space="preserve"> from the TV series </w:t>
      </w:r>
      <w:r>
        <w:rPr>
          <w:b/>
        </w:rPr>
        <w:t>The Last Kingdom</w:t>
      </w:r>
      <w:r w:rsidR="005F5887">
        <w:rPr>
          <w:b/>
        </w:rPr>
        <w:t xml:space="preserve"> </w:t>
      </w:r>
      <w:r w:rsidR="005F5887" w:rsidRPr="005F5887">
        <w:t>and</w:t>
      </w:r>
      <w:r w:rsidR="005F5887">
        <w:rPr>
          <w:b/>
        </w:rPr>
        <w:t xml:space="preserve"> Vikings </w:t>
      </w:r>
      <w:r>
        <w:rPr>
          <w:b/>
        </w:rPr>
        <w:t xml:space="preserve">. </w:t>
      </w:r>
      <w:r w:rsidR="00F17D26">
        <w:rPr>
          <w:b/>
        </w:rPr>
        <w:t xml:space="preserve"> </w:t>
      </w:r>
      <w:r w:rsidRPr="000D2558">
        <w:t xml:space="preserve">Explaining what </w:t>
      </w:r>
      <w:r w:rsidR="005F5887">
        <w:t>they</w:t>
      </w:r>
      <w:r>
        <w:t xml:space="preserve"> tells us about warfare in the 11</w:t>
      </w:r>
      <w:r w:rsidRPr="000D2558">
        <w:rPr>
          <w:vertAlign w:val="superscript"/>
        </w:rPr>
        <w:t>th</w:t>
      </w:r>
      <w:r>
        <w:t xml:space="preserve"> Century. Using the </w:t>
      </w:r>
      <w:r>
        <w:rPr>
          <w:b/>
        </w:rPr>
        <w:t xml:space="preserve">Tactics comparison </w:t>
      </w:r>
      <w:r>
        <w:t>sheet they will assess the clip for Historical accuracy.</w:t>
      </w:r>
    </w:p>
    <w:p w:rsidR="000D2558" w:rsidRDefault="000D2558" w:rsidP="000D2558">
      <w:pPr>
        <w:spacing w:after="0" w:line="200" w:lineRule="atLeast"/>
        <w:ind w:left="720"/>
        <w:rPr>
          <w:b/>
        </w:rPr>
      </w:pPr>
    </w:p>
    <w:p w:rsidR="00A43569" w:rsidRPr="0080374B" w:rsidRDefault="00402788" w:rsidP="000D2558">
      <w:pPr>
        <w:pStyle w:val="ListParagraph"/>
        <w:spacing w:after="0" w:line="200" w:lineRule="atLeast"/>
        <w:ind w:left="0"/>
        <w:rPr>
          <w:b/>
          <w:bCs/>
          <w:lang w:val="en-US"/>
        </w:rPr>
      </w:pPr>
      <w:r w:rsidRPr="00DA2D8C">
        <w:rPr>
          <w:b/>
          <w:bCs/>
          <w:color w:val="B2B2B2"/>
          <w:lang w:val="en-US"/>
        </w:rPr>
        <w:tab/>
      </w:r>
      <w:r w:rsidR="00A43569" w:rsidRPr="0080374B">
        <w:rPr>
          <w:b/>
          <w:bCs/>
          <w:lang w:val="en-US"/>
        </w:rPr>
        <w:t>Meanwhile, Elsewhere</w:t>
      </w:r>
    </w:p>
    <w:p w:rsidR="00A43569" w:rsidRPr="0080374B" w:rsidRDefault="00A43569">
      <w:pPr>
        <w:pStyle w:val="ListParagraph"/>
        <w:spacing w:after="0" w:line="200" w:lineRule="atLeast"/>
        <w:ind w:left="0"/>
        <w:rPr>
          <w:b/>
          <w:bCs/>
          <w:lang w:val="en-US"/>
        </w:rPr>
      </w:pPr>
    </w:p>
    <w:p w:rsidR="000D2558" w:rsidRPr="0080374B" w:rsidRDefault="00A43569" w:rsidP="000D2558">
      <w:pPr>
        <w:pStyle w:val="NormalWeb"/>
        <w:shd w:val="clear" w:color="auto" w:fill="FFFFFF"/>
        <w:spacing w:before="0" w:beforeAutospacing="0" w:after="404" w:afterAutospacing="0"/>
        <w:ind w:left="720"/>
        <w:textAlignment w:val="baseline"/>
        <w:rPr>
          <w:rFonts w:ascii="Calibri" w:hAnsi="Calibri"/>
          <w:sz w:val="22"/>
          <w:szCs w:val="22"/>
        </w:rPr>
      </w:pPr>
      <w:r w:rsidRPr="0080374B">
        <w:rPr>
          <w:rFonts w:ascii="Calibri" w:hAnsi="Calibri"/>
          <w:sz w:val="22"/>
          <w:szCs w:val="22"/>
        </w:rPr>
        <w:t xml:space="preserve">‘Meanwhile, elsewhere…’ is a teacher-led initiative trying to give teachers more options about the topics to which they expose pupils. In order to do this, history teachers have produced work-sheets with maps, images and tasks, supported with appropriate web addresses, that can be completed alongside the topic being taught. </w:t>
      </w:r>
      <w:r w:rsidR="00DA2D8C" w:rsidRPr="0080374B">
        <w:rPr>
          <w:rFonts w:ascii="Calibri" w:hAnsi="Calibri"/>
          <w:sz w:val="22"/>
          <w:szCs w:val="22"/>
        </w:rPr>
        <w:t xml:space="preserve">The activity is designed to encourage independent research. </w:t>
      </w:r>
      <w:r w:rsidRPr="0080374B">
        <w:rPr>
          <w:rFonts w:ascii="Calibri" w:hAnsi="Calibri"/>
          <w:sz w:val="22"/>
          <w:szCs w:val="22"/>
        </w:rPr>
        <w:t>See</w:t>
      </w:r>
      <w:r w:rsidRPr="0080374B">
        <w:rPr>
          <w:rFonts w:ascii="Calibri" w:hAnsi="Calibri"/>
          <w:color w:val="333333"/>
          <w:sz w:val="22"/>
          <w:szCs w:val="22"/>
        </w:rPr>
        <w:t xml:space="preserve"> </w:t>
      </w:r>
      <w:hyperlink r:id="rId6" w:history="1">
        <w:r w:rsidRPr="0080374B">
          <w:rPr>
            <w:rStyle w:val="Hyperlink"/>
            <w:rFonts w:ascii="Calibri" w:hAnsi="Calibri"/>
            <w:sz w:val="22"/>
            <w:szCs w:val="22"/>
            <w:lang w:val="en-GB" w:eastAsia="en-GB" w:bidi="ar-SA"/>
          </w:rPr>
          <w:t>https://meanwhileelsewhereinhistory.wo</w:t>
        </w:r>
        <w:r w:rsidRPr="0080374B">
          <w:rPr>
            <w:rStyle w:val="Hyperlink"/>
            <w:rFonts w:ascii="Calibri" w:hAnsi="Calibri"/>
            <w:sz w:val="22"/>
            <w:szCs w:val="22"/>
            <w:lang w:val="en-GB" w:eastAsia="en-GB" w:bidi="ar-SA"/>
          </w:rPr>
          <w:t>r</w:t>
        </w:r>
        <w:r w:rsidRPr="0080374B">
          <w:rPr>
            <w:rStyle w:val="Hyperlink"/>
            <w:rFonts w:ascii="Calibri" w:hAnsi="Calibri"/>
            <w:sz w:val="22"/>
            <w:szCs w:val="22"/>
            <w:lang w:val="en-GB" w:eastAsia="en-GB" w:bidi="ar-SA"/>
          </w:rPr>
          <w:t>dpress.com/</w:t>
        </w:r>
      </w:hyperlink>
      <w:r w:rsidRPr="0080374B">
        <w:rPr>
          <w:rFonts w:ascii="Calibri" w:hAnsi="Calibri"/>
          <w:color w:val="333333"/>
          <w:sz w:val="22"/>
          <w:szCs w:val="22"/>
        </w:rPr>
        <w:t xml:space="preserve"> </w:t>
      </w:r>
      <w:r w:rsidRPr="0080374B">
        <w:rPr>
          <w:rFonts w:ascii="Calibri" w:hAnsi="Calibri"/>
          <w:sz w:val="22"/>
          <w:szCs w:val="22"/>
        </w:rPr>
        <w:t>for more worksheets and more information</w:t>
      </w:r>
      <w:r w:rsidR="00DA2D8C" w:rsidRPr="0080374B">
        <w:rPr>
          <w:rFonts w:ascii="Calibri" w:hAnsi="Calibri"/>
          <w:sz w:val="22"/>
          <w:szCs w:val="22"/>
        </w:rPr>
        <w:t xml:space="preserve">. </w:t>
      </w:r>
    </w:p>
    <w:p w:rsidR="00744AA8" w:rsidRPr="00D7105F" w:rsidRDefault="00744AA8" w:rsidP="00744AA8">
      <w:pPr>
        <w:pStyle w:val="Framecontents"/>
        <w:ind w:firstLine="720"/>
      </w:pPr>
      <w:r w:rsidRPr="00D7105F">
        <w:rPr>
          <w:b/>
          <w:bCs/>
          <w:lang w:val="en-US"/>
        </w:rPr>
        <w:t>Exhibits in a Shoebox</w:t>
      </w:r>
      <w:bookmarkStart w:id="1" w:name="_GoBack"/>
      <w:bookmarkEnd w:id="1"/>
    </w:p>
    <w:p w:rsidR="00744AA8" w:rsidRDefault="00744AA8" w:rsidP="00744AA8">
      <w:pPr>
        <w:tabs>
          <w:tab w:val="left" w:pos="2820"/>
          <w:tab w:val="center" w:pos="4513"/>
        </w:tabs>
        <w:spacing w:after="0" w:line="200" w:lineRule="atLeast"/>
        <w:rPr>
          <w:color w:val="000000"/>
        </w:rPr>
      </w:pPr>
    </w:p>
    <w:p w:rsidR="00744AA8" w:rsidRDefault="00744AA8" w:rsidP="00744AA8">
      <w:pPr>
        <w:spacing w:after="0" w:line="200" w:lineRule="atLeast"/>
        <w:ind w:left="720"/>
        <w:rPr>
          <w:b/>
        </w:rPr>
      </w:pPr>
      <w:r>
        <w:rPr>
          <w:rFonts w:eastAsia="Anton"/>
          <w:color w:val="000000"/>
          <w:lang w:val="en-US"/>
        </w:rPr>
        <w:t>Students produce a museum exhibition for The Battle of Carham, no bigger than, and fitting into, a shoe box, showing their understanding of the battle.</w:t>
      </w:r>
    </w:p>
    <w:p w:rsidR="00744AA8" w:rsidRDefault="00744AA8" w:rsidP="00744AA8">
      <w:pPr>
        <w:spacing w:after="0" w:line="200" w:lineRule="atLeast"/>
        <w:ind w:left="720"/>
        <w:rPr>
          <w:b/>
        </w:rPr>
      </w:pPr>
    </w:p>
    <w:p w:rsidR="007A71DD" w:rsidRDefault="00402788" w:rsidP="00C524F4">
      <w:pPr>
        <w:pStyle w:val="NormalWeb"/>
        <w:shd w:val="clear" w:color="auto" w:fill="FFFFFF"/>
        <w:spacing w:before="0" w:beforeAutospacing="0" w:after="0" w:afterAutospacing="0"/>
        <w:ind w:left="720"/>
        <w:textAlignment w:val="baseline"/>
        <w:rPr>
          <w:rFonts w:ascii="Calibri" w:hAnsi="Calibri"/>
          <w:b/>
          <w:bCs/>
          <w:sz w:val="22"/>
          <w:szCs w:val="22"/>
          <w:lang w:val="en-US"/>
        </w:rPr>
      </w:pPr>
      <w:r w:rsidRPr="0080374B">
        <w:rPr>
          <w:rFonts w:ascii="Calibri" w:hAnsi="Calibri"/>
          <w:b/>
          <w:bCs/>
          <w:sz w:val="22"/>
          <w:szCs w:val="22"/>
          <w:lang w:val="en-US"/>
        </w:rPr>
        <w:t xml:space="preserve">Design your own memorial </w:t>
      </w:r>
    </w:p>
    <w:p w:rsidR="00C524F4" w:rsidRPr="0080374B" w:rsidRDefault="00C524F4" w:rsidP="00C524F4">
      <w:pPr>
        <w:pStyle w:val="NormalWeb"/>
        <w:shd w:val="clear" w:color="auto" w:fill="FFFFFF"/>
        <w:spacing w:before="0" w:beforeAutospacing="0" w:after="0" w:afterAutospacing="0"/>
        <w:ind w:left="720"/>
        <w:textAlignment w:val="baseline"/>
        <w:rPr>
          <w:rFonts w:ascii="Calibri" w:hAnsi="Calibri"/>
          <w:sz w:val="22"/>
          <w:szCs w:val="22"/>
        </w:rPr>
      </w:pPr>
    </w:p>
    <w:p w:rsidR="00402788" w:rsidRPr="0080374B" w:rsidRDefault="00402788" w:rsidP="00C524F4">
      <w:pPr>
        <w:pStyle w:val="NormalWeb"/>
        <w:shd w:val="clear" w:color="auto" w:fill="FFFFFF"/>
        <w:spacing w:before="0" w:beforeAutospacing="0" w:after="0" w:afterAutospacing="0"/>
        <w:ind w:left="720"/>
        <w:textAlignment w:val="baseline"/>
        <w:rPr>
          <w:rFonts w:ascii="Calibri" w:hAnsi="Calibri"/>
          <w:sz w:val="22"/>
          <w:szCs w:val="22"/>
          <w:lang w:val="en-US"/>
        </w:rPr>
      </w:pPr>
      <w:r w:rsidRPr="0080374B">
        <w:rPr>
          <w:rFonts w:ascii="Calibri" w:hAnsi="Calibri"/>
          <w:sz w:val="22"/>
          <w:szCs w:val="22"/>
          <w:lang w:val="en-US"/>
        </w:rPr>
        <w:t>Students design a memorial that commemorates and interprets the Battle, they produce a detailed sketch, and write a rationale supporting their design.</w:t>
      </w:r>
    </w:p>
    <w:p w:rsidR="00FF3A9C" w:rsidRPr="0080374B" w:rsidRDefault="00FF3A9C" w:rsidP="00616CEA">
      <w:pPr>
        <w:ind w:left="720"/>
      </w:pPr>
    </w:p>
    <w:sectPr w:rsidR="00FF3A9C" w:rsidRPr="0080374B">
      <w:pgSz w:w="11906" w:h="16838"/>
      <w:pgMar w:top="1043" w:right="1043" w:bottom="1043" w:left="1043" w:header="720" w:footer="720"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ton">
    <w:charset w:val="00"/>
    <w:family w:val="swiss"/>
    <w:pitch w:val="default"/>
  </w:font>
  <w:font w:name="HelveticaNeue">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Calibri"/>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6E17"/>
    <w:rsid w:val="00054425"/>
    <w:rsid w:val="00076744"/>
    <w:rsid w:val="00086EB0"/>
    <w:rsid w:val="000A1C80"/>
    <w:rsid w:val="000D2558"/>
    <w:rsid w:val="000E3981"/>
    <w:rsid w:val="000F18C4"/>
    <w:rsid w:val="00136CE4"/>
    <w:rsid w:val="00144E7A"/>
    <w:rsid w:val="00155BE6"/>
    <w:rsid w:val="0017798C"/>
    <w:rsid w:val="001879E7"/>
    <w:rsid w:val="001F2FCA"/>
    <w:rsid w:val="002B45B2"/>
    <w:rsid w:val="00333977"/>
    <w:rsid w:val="00336E36"/>
    <w:rsid w:val="0036204E"/>
    <w:rsid w:val="00401CE9"/>
    <w:rsid w:val="00402788"/>
    <w:rsid w:val="0043739A"/>
    <w:rsid w:val="00443412"/>
    <w:rsid w:val="004571DB"/>
    <w:rsid w:val="004A7BB4"/>
    <w:rsid w:val="004B0902"/>
    <w:rsid w:val="00526B22"/>
    <w:rsid w:val="00573B95"/>
    <w:rsid w:val="00592ECD"/>
    <w:rsid w:val="005B5DD2"/>
    <w:rsid w:val="005C1696"/>
    <w:rsid w:val="005C34CE"/>
    <w:rsid w:val="005F11B3"/>
    <w:rsid w:val="005F5887"/>
    <w:rsid w:val="00616CEA"/>
    <w:rsid w:val="006319EB"/>
    <w:rsid w:val="006439F9"/>
    <w:rsid w:val="00670E63"/>
    <w:rsid w:val="006B14DF"/>
    <w:rsid w:val="006F53DB"/>
    <w:rsid w:val="00716166"/>
    <w:rsid w:val="00744AA8"/>
    <w:rsid w:val="007637E0"/>
    <w:rsid w:val="007A71DD"/>
    <w:rsid w:val="007A759A"/>
    <w:rsid w:val="007B4FF9"/>
    <w:rsid w:val="007F41A1"/>
    <w:rsid w:val="0080374B"/>
    <w:rsid w:val="00862694"/>
    <w:rsid w:val="009032D0"/>
    <w:rsid w:val="00911F24"/>
    <w:rsid w:val="00943E41"/>
    <w:rsid w:val="009935A8"/>
    <w:rsid w:val="00994F6A"/>
    <w:rsid w:val="009E3D4C"/>
    <w:rsid w:val="00A112B5"/>
    <w:rsid w:val="00A2566E"/>
    <w:rsid w:val="00A43569"/>
    <w:rsid w:val="00B13192"/>
    <w:rsid w:val="00B419FE"/>
    <w:rsid w:val="00B71F86"/>
    <w:rsid w:val="00B90CFA"/>
    <w:rsid w:val="00BF375D"/>
    <w:rsid w:val="00C4762A"/>
    <w:rsid w:val="00C524F4"/>
    <w:rsid w:val="00C533F4"/>
    <w:rsid w:val="00CE037E"/>
    <w:rsid w:val="00D7105F"/>
    <w:rsid w:val="00DA1D7E"/>
    <w:rsid w:val="00DA2D8C"/>
    <w:rsid w:val="00E410F6"/>
    <w:rsid w:val="00E56347"/>
    <w:rsid w:val="00E73548"/>
    <w:rsid w:val="00E96BFD"/>
    <w:rsid w:val="00EA6E17"/>
    <w:rsid w:val="00EF0685"/>
    <w:rsid w:val="00F0622F"/>
    <w:rsid w:val="00F06940"/>
    <w:rsid w:val="00F17D26"/>
    <w:rsid w:val="00F53905"/>
    <w:rsid w:val="00F87337"/>
    <w:rsid w:val="00F90C19"/>
    <w:rsid w:val="00FA2B8E"/>
    <w:rsid w:val="00FA7588"/>
    <w:rsid w:val="00FF3A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B8ECC5"/>
  <w15:chartTrackingRefBased/>
  <w15:docId w15:val="{57B0D8BB-5300-4E9A-95E5-BE15BC5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SimSun"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bCs w:val="0"/>
      <w:caps w:val="0"/>
      <w:smallCaps w:val="0"/>
      <w:color w:val="000000"/>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sz w:val="24"/>
      <w:szCs w:val="24"/>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cs="Calibri"/>
      <w:caps w:val="0"/>
      <w:smallCaps w:val="0"/>
      <w:lang w:val="en"/>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styleId="DefaultParagraphFont0">
    <w:name w:val="Default Paragraph Font"/>
  </w:style>
  <w:style w:type="character" w:customStyle="1" w:styleId="WW-DefaultParagraphFont">
    <w:name w:val="WW-Default Paragraph Font"/>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customStyle="1" w:styleId="watch-title">
    <w:name w:val="watch-title"/>
    <w:rPr>
      <w:sz w:val="24"/>
      <w:szCs w:val="24"/>
    </w:rPr>
  </w:style>
  <w:style w:type="character" w:styleId="Hyperlink">
    <w:name w:val="Hyperlink"/>
    <w:rPr>
      <w:color w:val="000080"/>
      <w:u w:val="single"/>
      <w:lang/>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ListParagraph">
    <w:name w:val="List Paragraph"/>
    <w:basedOn w:val="Normal"/>
    <w:qFormat/>
    <w:pPr>
      <w:ind w:left="720"/>
    </w:pPr>
  </w:style>
  <w:style w:type="paragraph" w:customStyle="1" w:styleId="Framecontents">
    <w:name w:val="Frame contents"/>
    <w:basedOn w:val="BodyText"/>
  </w:style>
  <w:style w:type="paragraph" w:styleId="NormalWeb">
    <w:name w:val="Normal (Web)"/>
    <w:basedOn w:val="Normal"/>
    <w:uiPriority w:val="99"/>
    <w:unhideWhenUsed/>
    <w:rsid w:val="00A43569"/>
    <w:pPr>
      <w:suppressAutoHyphens w:val="0"/>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uiPriority w:val="99"/>
    <w:semiHidden/>
    <w:unhideWhenUsed/>
    <w:rsid w:val="00A43569"/>
    <w:rPr>
      <w:color w:val="605E5C"/>
      <w:shd w:val="clear" w:color="auto" w:fill="E1DFDD"/>
    </w:rPr>
  </w:style>
  <w:style w:type="character" w:styleId="FollowedHyperlink">
    <w:name w:val="FollowedHyperlink"/>
    <w:uiPriority w:val="99"/>
    <w:semiHidden/>
    <w:unhideWhenUsed/>
    <w:rsid w:val="006B14D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81589">
      <w:bodyDiv w:val="1"/>
      <w:marLeft w:val="0"/>
      <w:marRight w:val="0"/>
      <w:marTop w:val="0"/>
      <w:marBottom w:val="0"/>
      <w:divBdr>
        <w:top w:val="none" w:sz="0" w:space="0" w:color="auto"/>
        <w:left w:val="none" w:sz="0" w:space="0" w:color="auto"/>
        <w:bottom w:val="none" w:sz="0" w:space="0" w:color="auto"/>
        <w:right w:val="none" w:sz="0" w:space="0" w:color="auto"/>
      </w:divBdr>
    </w:div>
    <w:div w:id="565142685">
      <w:bodyDiv w:val="1"/>
      <w:marLeft w:val="0"/>
      <w:marRight w:val="0"/>
      <w:marTop w:val="0"/>
      <w:marBottom w:val="0"/>
      <w:divBdr>
        <w:top w:val="none" w:sz="0" w:space="0" w:color="auto"/>
        <w:left w:val="none" w:sz="0" w:space="0" w:color="auto"/>
        <w:bottom w:val="none" w:sz="0" w:space="0" w:color="auto"/>
        <w:right w:val="none" w:sz="0" w:space="0" w:color="auto"/>
      </w:divBdr>
    </w:div>
    <w:div w:id="1277786868">
      <w:bodyDiv w:val="1"/>
      <w:marLeft w:val="0"/>
      <w:marRight w:val="0"/>
      <w:marTop w:val="0"/>
      <w:marBottom w:val="0"/>
      <w:divBdr>
        <w:top w:val="none" w:sz="0" w:space="0" w:color="auto"/>
        <w:left w:val="none" w:sz="0" w:space="0" w:color="auto"/>
        <w:bottom w:val="none" w:sz="0" w:space="0" w:color="auto"/>
        <w:right w:val="none" w:sz="0" w:space="0" w:color="auto"/>
      </w:divBdr>
    </w:div>
    <w:div w:id="161987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anwhileelsewhereinhistory.wordpress.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984</Words>
  <Characters>5612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6583</CharactersWithSpaces>
  <SharedDoc>false</SharedDoc>
  <HLinks>
    <vt:vector size="6" baseType="variant">
      <vt:variant>
        <vt:i4>3407917</vt:i4>
      </vt:variant>
      <vt:variant>
        <vt:i4>0</vt:i4>
      </vt:variant>
      <vt:variant>
        <vt:i4>0</vt:i4>
      </vt:variant>
      <vt:variant>
        <vt:i4>5</vt:i4>
      </vt:variant>
      <vt:variant>
        <vt:lpwstr>https://meanwhileelsewhereinhistory.wordpress.com/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Glynh</dc:creator>
  <cp:keywords/>
  <cp:lastModifiedBy>Geoffrey Carter</cp:lastModifiedBy>
  <cp:revision>2</cp:revision>
  <cp:lastPrinted>2019-06-13T09:43:00Z</cp:lastPrinted>
  <dcterms:created xsi:type="dcterms:W3CDTF">2019-06-13T11:03:00Z</dcterms:created>
  <dcterms:modified xsi:type="dcterms:W3CDTF">2019-06-13T11:03:00Z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NSDC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